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300" w:lineRule="atLeast"/>
        <w:ind w:left="0" w:right="0" w:firstLine="0"/>
        <w:jc w:val="left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sz w:val="40"/>
          <w:szCs w:val="40"/>
          <w:lang w:val="en-US" w:eastAsia="zh-CN"/>
        </w:rPr>
        <w:t>点点对接创新服务新模式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300" w:lineRule="atLeast"/>
        <w:ind w:left="0" w:right="0" w:firstLine="0"/>
        <w:jc w:val="left"/>
        <w:rPr>
          <w:rFonts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---记</w:t>
      </w:r>
      <w:r>
        <w:rPr>
          <w:rFonts w:hint="eastAsia"/>
          <w:b/>
          <w:bCs/>
          <w:sz w:val="32"/>
          <w:szCs w:val="32"/>
          <w:lang w:val="en-US" w:eastAsia="zh-CN"/>
        </w:rPr>
        <w:t>双城长产设施农业</w:t>
      </w:r>
      <w:r>
        <w:rPr>
          <w:rFonts w:hint="default" w:ascii="Arial" w:hAnsi="Arial" w:cs="Arial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"http://www.so.com/link?url=http://www.whit.ah.cn/show/28698&amp;q=%E5%AF%B9%E6%8E%A5%E5%9F%BA%E5%9C%B0%E9%A2%86%E5%AF%BC%E6%9D%A5%E5%AD%A6%E9%99%A2%E5%8F%82%E8%A7%82&amp;ts=1478240109&amp;t=e450d0a5b8eff73439475246bb46f4e&amp;src=haosou" \t "https://www.so.com/_blank" </w:instrText>
      </w:r>
      <w:r>
        <w:rPr>
          <w:rFonts w:hint="default" w:ascii="Arial" w:hAnsi="Arial" w:cs="Arial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基地领导来我院洽谈校企对接</w:t>
      </w:r>
      <w:r>
        <w:rPr>
          <w:rFonts w:hint="default" w:ascii="Arial" w:hAnsi="Arial" w:cs="Arial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2016年11月1日下午14：00 双城区长产设施农业基地负责人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朱总一行四人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来我院洽谈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点对点农业基地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对接事宜，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学院院长李洪亮亲自与基地领导及相关人员洽谈合作事宜，学院创业教育中心主任曲秀琴、食品分院副院长牛红云及相关教师参加对接会议，并带领相关参与基地对接的教师共同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参观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了学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食品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专业实训室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及大学生创业园，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基地负责人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朱总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更进一步肯定了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院的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食品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专业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的办学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实力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与特色，并提出深度合作事宜。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参观结束后后，来自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创业教育中心、食品分院、计算机与艺术传媒分院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教师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与学生共同与基地负责人进行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座谈，探讨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以解决农业产业化、种植结构调整、绿色有机农产品营销、农产品种植经营等方面存在的问题为导向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建立学院和基地的长效深度合作与服务机制。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目前，来自于食品工程分院、经济管理分院、计算机与艺术传媒分院相关教师组成了一支专项服务团队，实现了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由专业教师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参与企业生产、创业教师专项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指导、学生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团队参与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为主体的“点对点”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线下线下营销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服务团队，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将有利于农业企业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不断优化组织结构，创新长产设施农业基地标识设计、网站建设以及营销模式，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将创新创业教育与专业知识和农业生产实践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有效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结合，切实调动了大学生投身“互联网+农业”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的积极性，同时也创造了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创新创业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服务农业现代化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新模式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为打造龙江经济社会发展新引擎、建设创新型省份，提供强大的人才支撑和智力保障。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撰稿人：徐颖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7960" cy="397129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71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59FD"/>
    <w:rsid w:val="0CFD7871"/>
    <w:rsid w:val="16F3272D"/>
    <w:rsid w:val="19733205"/>
    <w:rsid w:val="302D1361"/>
    <w:rsid w:val="30D77761"/>
    <w:rsid w:val="3D0040DF"/>
    <w:rsid w:val="451D1825"/>
    <w:rsid w:val="569F7C3C"/>
    <w:rsid w:val="5FF74336"/>
    <w:rsid w:val="65E30D3E"/>
    <w:rsid w:val="729D5B33"/>
    <w:rsid w:val="7F0310E1"/>
    <w:rsid w:val="7F4777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2016-11-07T02:44:50Z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